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F7176D"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F7176D">
        <w:rPr>
          <w:sz w:val="22"/>
          <w:szCs w:val="22"/>
        </w:rPr>
        <w:t>Ing. Aleš Čermák, PhD. MBA,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0"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0"/>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8E63E9">
      <w:pPr>
        <w:pStyle w:val="Zkladntext"/>
        <w:spacing w:before="0" w:line="264" w:lineRule="auto"/>
        <w:jc w:val="center"/>
        <w:rPr>
          <w:b/>
          <w:sz w:val="22"/>
          <w:szCs w:val="22"/>
        </w:rPr>
      </w:pPr>
      <w:r w:rsidRPr="000B3FAB">
        <w:rPr>
          <w:b/>
          <w:sz w:val="22"/>
          <w:szCs w:val="22"/>
        </w:rPr>
        <w:t>I.</w:t>
      </w:r>
    </w:p>
    <w:p w:rsidR="00A03BD9" w:rsidRPr="00AF1EF7" w:rsidRDefault="00DD5A23" w:rsidP="008E63E9">
      <w:pPr>
        <w:spacing w:before="60" w:line="264" w:lineRule="auto"/>
        <w:ind w:firstLine="709"/>
        <w:jc w:val="both"/>
        <w:rPr>
          <w:snapToGrid w:val="0"/>
          <w:sz w:val="22"/>
          <w:szCs w:val="22"/>
        </w:rPr>
      </w:pPr>
      <w:r w:rsidRPr="000B3FAB">
        <w:rPr>
          <w:b/>
          <w:sz w:val="22"/>
          <w:szCs w:val="22"/>
        </w:rPr>
        <w:t xml:space="preserve">Vlastník </w:t>
      </w:r>
      <w:r w:rsidR="008E63E9" w:rsidRPr="008E63E9">
        <w:rPr>
          <w:sz w:val="22"/>
          <w:szCs w:val="22"/>
        </w:rPr>
        <w:t xml:space="preserve">má ve společném jmění manželů (SJM) spoluvlastnický podíl o velikosti id. </w:t>
      </w:r>
      <w:r w:rsidR="008E63E9" w:rsidRPr="008E63E9">
        <w:rPr>
          <w:sz w:val="22"/>
          <w:szCs w:val="22"/>
          <w:highlight w:val="green"/>
        </w:rPr>
        <w:t>bude doplněno</w:t>
      </w:r>
      <w:r w:rsidR="008E63E9" w:rsidRPr="008E63E9">
        <w:rPr>
          <w:b/>
          <w:sz w:val="22"/>
          <w:szCs w:val="22"/>
        </w:rPr>
        <w:t xml:space="preserve"> </w:t>
      </w:r>
      <w:r w:rsidR="008E63E9" w:rsidRPr="008E63E9">
        <w:rPr>
          <w:sz w:val="22"/>
          <w:szCs w:val="22"/>
        </w:rPr>
        <w:t>k</w:t>
      </w:r>
      <w:r w:rsidR="000A356F">
        <w:rPr>
          <w:b/>
          <w:color w:val="000000"/>
          <w:sz w:val="22"/>
          <w:szCs w:val="22"/>
        </w:rPr>
        <w:t xml:space="preserve"> </w:t>
      </w:r>
      <w:r w:rsidRPr="00170BAE">
        <w:rPr>
          <w:color w:val="000000"/>
          <w:sz w:val="22"/>
          <w:szCs w:val="22"/>
          <w:highlight w:val="yellow"/>
        </w:rPr>
        <w:t>pozemkové parcel</w:t>
      </w:r>
      <w:r w:rsidR="008E63E9">
        <w:rPr>
          <w:color w:val="000000"/>
          <w:sz w:val="22"/>
          <w:szCs w:val="22"/>
          <w:highlight w:val="yellow"/>
        </w:rPr>
        <w:t>e</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8E63E9">
      <w:pPr>
        <w:spacing w:before="120" w:line="264" w:lineRule="auto"/>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8E63E9" w:rsidRPr="0075077E" w:rsidRDefault="008E63E9" w:rsidP="008E63E9">
      <w:pPr>
        <w:spacing w:before="120" w:line="264" w:lineRule="auto"/>
        <w:ind w:firstLine="709"/>
        <w:jc w:val="both"/>
        <w:rPr>
          <w:sz w:val="22"/>
          <w:szCs w:val="22"/>
        </w:rPr>
      </w:pPr>
    </w:p>
    <w:p w:rsidR="00ED6513" w:rsidRPr="00FA3BFE" w:rsidRDefault="00DD5A23" w:rsidP="008E63E9">
      <w:pPr>
        <w:spacing w:before="120" w:line="264" w:lineRule="auto"/>
        <w:jc w:val="center"/>
        <w:rPr>
          <w:snapToGrid w:val="0"/>
          <w:sz w:val="22"/>
          <w:szCs w:val="22"/>
        </w:rPr>
      </w:pPr>
      <w:r w:rsidRPr="0075077E">
        <w:rPr>
          <w:b/>
          <w:snapToGrid w:val="0"/>
          <w:sz w:val="22"/>
          <w:szCs w:val="22"/>
        </w:rPr>
        <w:t>II.</w:t>
      </w:r>
    </w:p>
    <w:p w:rsidR="00A21892" w:rsidRPr="0075077E" w:rsidRDefault="00DD5A23" w:rsidP="008E63E9">
      <w:pPr>
        <w:spacing w:before="60" w:line="264" w:lineRule="auto"/>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8E63E9">
      <w:pPr>
        <w:spacing w:before="120" w:line="264" w:lineRule="auto"/>
        <w:ind w:firstLine="709"/>
        <w:jc w:val="both"/>
        <w:rPr>
          <w:snapToGrid w:val="0"/>
          <w:sz w:val="22"/>
          <w:szCs w:val="22"/>
        </w:rPr>
      </w:pPr>
      <w:r w:rsidRPr="00EB0582">
        <w:rPr>
          <w:snapToGrid w:val="0"/>
          <w:sz w:val="22"/>
          <w:szCs w:val="22"/>
        </w:rPr>
        <w:lastRenderedPageBreak/>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8E63E9" w:rsidRPr="0075077E" w:rsidRDefault="008E63E9" w:rsidP="008E63E9">
      <w:pPr>
        <w:spacing w:before="120" w:line="264" w:lineRule="auto"/>
        <w:ind w:firstLine="709"/>
        <w:jc w:val="both"/>
        <w:rPr>
          <w:snapToGrid w:val="0"/>
          <w:sz w:val="22"/>
          <w:szCs w:val="22"/>
        </w:rPr>
      </w:pPr>
    </w:p>
    <w:p w:rsidR="00ED6513" w:rsidRPr="0075077E" w:rsidRDefault="00DD5A23" w:rsidP="008E63E9">
      <w:pPr>
        <w:spacing w:before="120" w:line="264" w:lineRule="auto"/>
        <w:jc w:val="center"/>
        <w:rPr>
          <w:b/>
          <w:snapToGrid w:val="0"/>
          <w:sz w:val="22"/>
          <w:szCs w:val="22"/>
        </w:rPr>
      </w:pPr>
      <w:r w:rsidRPr="0075077E">
        <w:rPr>
          <w:b/>
          <w:snapToGrid w:val="0"/>
          <w:sz w:val="22"/>
          <w:szCs w:val="22"/>
        </w:rPr>
        <w:t>III.</w:t>
      </w:r>
    </w:p>
    <w:p w:rsidR="00ED6513" w:rsidRDefault="00DD5A23" w:rsidP="008E63E9">
      <w:pPr>
        <w:tabs>
          <w:tab w:val="left" w:pos="3544"/>
        </w:tabs>
        <w:spacing w:before="120" w:line="264" w:lineRule="auto"/>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8E63E9">
      <w:pPr>
        <w:spacing w:before="60" w:line="264" w:lineRule="auto"/>
        <w:jc w:val="center"/>
        <w:rPr>
          <w:b/>
          <w:snapToGrid w:val="0"/>
          <w:sz w:val="22"/>
          <w:szCs w:val="22"/>
        </w:rPr>
      </w:pPr>
      <w:r w:rsidRPr="00206046">
        <w:rPr>
          <w:snapToGrid w:val="0"/>
          <w:sz w:val="22"/>
          <w:szCs w:val="22"/>
        </w:rPr>
        <w:t>(nehodící se škrtněte)</w:t>
      </w:r>
    </w:p>
    <w:p w:rsidR="00ED6513" w:rsidRPr="007379FF" w:rsidRDefault="00DD5A23" w:rsidP="008E63E9">
      <w:pPr>
        <w:spacing w:before="120" w:line="264" w:lineRule="auto"/>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F7176D" w:rsidP="008E63E9">
      <w:pPr>
        <w:spacing w:before="120" w:line="264" w:lineRule="auto"/>
        <w:jc w:val="center"/>
        <w:rPr>
          <w:b/>
          <w:snapToGrid w:val="0"/>
          <w:sz w:val="22"/>
          <w:szCs w:val="22"/>
        </w:rPr>
      </w:pPr>
    </w:p>
    <w:p w:rsidR="00ED6513" w:rsidRPr="00C92D48" w:rsidRDefault="00DD5A23" w:rsidP="008E63E9">
      <w:pPr>
        <w:spacing w:before="120" w:line="264" w:lineRule="auto"/>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8E63E9">
      <w:pPr>
        <w:spacing w:before="120" w:line="264" w:lineRule="auto"/>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8E63E9">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8E63E9">
      <w:pPr>
        <w:spacing w:before="120" w:line="264" w:lineRule="auto"/>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8E63E9">
      <w:pPr>
        <w:spacing w:before="120" w:line="264" w:lineRule="auto"/>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8E63E9">
      <w:pPr>
        <w:spacing w:before="120" w:line="264" w:lineRule="auto"/>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8E63E9">
      <w:pPr>
        <w:spacing w:before="120" w:line="264" w:lineRule="auto"/>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8E63E9">
      <w:pPr>
        <w:spacing w:before="60" w:line="264" w:lineRule="auto"/>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8E63E9">
      <w:pPr>
        <w:spacing w:before="120" w:line="264" w:lineRule="auto"/>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r w:rsidRPr="00085514">
        <w:rPr>
          <w:b/>
          <w:snapToGrid w:val="0"/>
          <w:sz w:val="22"/>
          <w:szCs w:val="22"/>
        </w:rPr>
        <w:lastRenderedPageBreak/>
        <w:t>IV.</w:t>
      </w:r>
    </w:p>
    <w:p w:rsidR="00ED6513" w:rsidRPr="00085514" w:rsidRDefault="00DD5A23" w:rsidP="008E63E9">
      <w:pPr>
        <w:spacing w:before="60" w:line="264" w:lineRule="auto"/>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F7176D" w:rsidP="008E63E9">
      <w:pPr>
        <w:spacing w:before="120" w:line="264" w:lineRule="auto"/>
        <w:jc w:val="center"/>
        <w:rPr>
          <w:b/>
          <w:snapToGrid w:val="0"/>
          <w:sz w:val="22"/>
          <w:szCs w:val="22"/>
        </w:rPr>
      </w:pPr>
    </w:p>
    <w:p w:rsidR="00ED6513" w:rsidRPr="00085514" w:rsidRDefault="00DD5A23" w:rsidP="008E63E9">
      <w:pPr>
        <w:spacing w:line="264" w:lineRule="auto"/>
        <w:jc w:val="center"/>
        <w:rPr>
          <w:b/>
          <w:snapToGrid w:val="0"/>
          <w:sz w:val="22"/>
          <w:szCs w:val="22"/>
        </w:rPr>
      </w:pPr>
      <w:r w:rsidRPr="00085514">
        <w:rPr>
          <w:b/>
          <w:snapToGrid w:val="0"/>
          <w:sz w:val="22"/>
          <w:szCs w:val="22"/>
        </w:rPr>
        <w:t>V.</w:t>
      </w:r>
    </w:p>
    <w:p w:rsidR="00ED6513" w:rsidRDefault="00DD5A23" w:rsidP="008E63E9">
      <w:pPr>
        <w:spacing w:before="60" w:line="264" w:lineRule="auto"/>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Pr="005C362C" w:rsidRDefault="008E63E9" w:rsidP="008E63E9">
      <w:pPr>
        <w:spacing w:before="60" w:line="264" w:lineRule="auto"/>
        <w:ind w:firstLine="709"/>
        <w:jc w:val="both"/>
        <w:rPr>
          <w:snapToGrid w:val="0"/>
          <w:sz w:val="22"/>
          <w:szCs w:val="22"/>
        </w:rPr>
      </w:pPr>
    </w:p>
    <w:p w:rsidR="00ED6513" w:rsidRPr="00085514" w:rsidRDefault="00DD5A23" w:rsidP="008E63E9">
      <w:pPr>
        <w:spacing w:before="120" w:line="264" w:lineRule="auto"/>
        <w:jc w:val="center"/>
        <w:rPr>
          <w:b/>
          <w:snapToGrid w:val="0"/>
          <w:sz w:val="22"/>
          <w:szCs w:val="22"/>
        </w:rPr>
      </w:pPr>
      <w:r w:rsidRPr="00085514">
        <w:rPr>
          <w:b/>
          <w:snapToGrid w:val="0"/>
          <w:sz w:val="22"/>
          <w:szCs w:val="22"/>
        </w:rPr>
        <w:t>VI.</w:t>
      </w:r>
    </w:p>
    <w:p w:rsidR="00ED6513" w:rsidRPr="00085514" w:rsidRDefault="00DD5A23" w:rsidP="008E63E9">
      <w:pPr>
        <w:spacing w:before="120" w:line="264" w:lineRule="auto"/>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8E63E9">
      <w:pPr>
        <w:spacing w:before="120" w:line="264" w:lineRule="auto"/>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8E63E9">
      <w:pPr>
        <w:spacing w:before="60" w:line="264" w:lineRule="auto"/>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8E63E9">
      <w:pPr>
        <w:spacing w:before="60" w:line="264" w:lineRule="auto"/>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B869EE" w:rsidRPr="00B869EE">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B869EE" w:rsidP="008E63E9">
      <w:pPr>
        <w:spacing w:before="120" w:line="264" w:lineRule="auto"/>
        <w:ind w:firstLine="709"/>
        <w:jc w:val="both"/>
        <w:rPr>
          <w:snapToGrid w:val="0"/>
          <w:sz w:val="22"/>
          <w:szCs w:val="22"/>
        </w:rPr>
      </w:pPr>
      <w:r w:rsidRPr="00B869EE">
        <w:rPr>
          <w:snapToGrid w:val="0"/>
          <w:sz w:val="22"/>
          <w:szCs w:val="22"/>
        </w:rPr>
        <w:t>Vlastník dále souhlasí s uveřejněním této dohody na úřední desce Středočeského kraje, a to v případě, kdy investor nese v souladu se svými interními předpisy povinnost uveřejnění smlouvy na úřední desce Středočeského kraje</w:t>
      </w:r>
      <w:r>
        <w:rPr>
          <w:snapToGrid w:val="0"/>
          <w:sz w:val="22"/>
          <w:szCs w:val="22"/>
        </w:rPr>
        <w:t>.</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8E63E9" w:rsidRDefault="008E63E9"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8E63E9" w:rsidRDefault="008E63E9" w:rsidP="007379FF">
      <w:pPr>
        <w:tabs>
          <w:tab w:val="left" w:pos="4962"/>
        </w:tabs>
        <w:spacing w:before="120"/>
        <w:jc w:val="both"/>
        <w:rPr>
          <w:snapToGrid w:val="0"/>
          <w:sz w:val="22"/>
          <w:szCs w:val="22"/>
        </w:rPr>
      </w:pP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FD6D08" w:rsidP="005C362C">
      <w:pPr>
        <w:keepNext/>
        <w:tabs>
          <w:tab w:val="left" w:pos="4962"/>
        </w:tabs>
        <w:rPr>
          <w:snapToGrid w:val="0"/>
          <w:sz w:val="22"/>
          <w:szCs w:val="22"/>
        </w:rPr>
      </w:pPr>
      <w:r>
        <w:rPr>
          <w:sz w:val="22"/>
          <w:szCs w:val="22"/>
        </w:rPr>
        <w:t xml:space="preserve">                       </w:t>
      </w:r>
      <w:r w:rsidR="007A191E"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F7176D">
        <w:rPr>
          <w:sz w:val="22"/>
          <w:szCs w:val="22"/>
        </w:rPr>
        <w:t>Ing. Aleš Čermák, PhD. MBA, ředitel</w:t>
      </w:r>
      <w:r w:rsidRPr="008C0FAF">
        <w:rPr>
          <w:snapToGrid w:val="0"/>
          <w:sz w:val="22"/>
          <w:szCs w:val="22"/>
        </w:rPr>
        <w:tab/>
      </w:r>
    </w:p>
    <w:p w:rsidR="00FD6D08" w:rsidRDefault="00FD6D08" w:rsidP="00FD6D08">
      <w:pPr>
        <w:tabs>
          <w:tab w:val="left" w:pos="4962"/>
        </w:tabs>
        <w:jc w:val="both"/>
        <w:rPr>
          <w:snapToGrid w:val="0"/>
          <w:sz w:val="22"/>
          <w:szCs w:val="22"/>
        </w:rPr>
      </w:pPr>
      <w:r>
        <w:rPr>
          <w:snapToGrid w:val="0"/>
          <w:sz w:val="22"/>
          <w:szCs w:val="22"/>
        </w:rPr>
        <w:t>…………………………………………….</w:t>
      </w:r>
      <w:r>
        <w:rPr>
          <w:snapToGrid w:val="0"/>
          <w:sz w:val="22"/>
          <w:szCs w:val="22"/>
        </w:rPr>
        <w:tab/>
      </w:r>
    </w:p>
    <w:p w:rsidR="00FD6D08" w:rsidRPr="009E3709" w:rsidRDefault="00FD6D08" w:rsidP="00FD6D08">
      <w:pPr>
        <w:tabs>
          <w:tab w:val="left" w:pos="4962"/>
        </w:tabs>
        <w:jc w:val="both"/>
        <w:rPr>
          <w:snapToGrid w:val="0"/>
          <w:sz w:val="22"/>
          <w:szCs w:val="22"/>
        </w:rPr>
      </w:pPr>
      <w:r>
        <w:rPr>
          <w:sz w:val="22"/>
          <w:szCs w:val="22"/>
        </w:rPr>
        <w:t xml:space="preserve">                       </w:t>
      </w:r>
      <w:r>
        <w:rPr>
          <w:sz w:val="22"/>
          <w:szCs w:val="22"/>
          <w:highlight w:val="green"/>
        </w:rPr>
        <w:t>bude doplněno</w:t>
      </w:r>
      <w:bookmarkStart w:id="1" w:name="_GoBack"/>
      <w:bookmarkEnd w:id="1"/>
    </w:p>
    <w:sectPr w:rsidR="00FD6D08"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963A1"/>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0DBA"/>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61E78"/>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869EE"/>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A4512"/>
    <w:rsid w:val="00CB3A9F"/>
    <w:rsid w:val="00CC7274"/>
    <w:rsid w:val="00CE2646"/>
    <w:rsid w:val="00D105F3"/>
    <w:rsid w:val="00D17607"/>
    <w:rsid w:val="00D35303"/>
    <w:rsid w:val="00D475E8"/>
    <w:rsid w:val="00D50B5C"/>
    <w:rsid w:val="00D5436D"/>
    <w:rsid w:val="00D7581E"/>
    <w:rsid w:val="00D76317"/>
    <w:rsid w:val="00D8708B"/>
    <w:rsid w:val="00DA567F"/>
    <w:rsid w:val="00DB0A37"/>
    <w:rsid w:val="00DB374D"/>
    <w:rsid w:val="00DB4C2F"/>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22C3"/>
    <w:rsid w:val="00E4351C"/>
    <w:rsid w:val="00E74B6F"/>
    <w:rsid w:val="00E822D1"/>
    <w:rsid w:val="00E83266"/>
    <w:rsid w:val="00EA6A4A"/>
    <w:rsid w:val="00EB0582"/>
    <w:rsid w:val="00EB7B56"/>
    <w:rsid w:val="00EC424B"/>
    <w:rsid w:val="00EC52AF"/>
    <w:rsid w:val="00ED0D84"/>
    <w:rsid w:val="00EE114A"/>
    <w:rsid w:val="00F01C7A"/>
    <w:rsid w:val="00F02529"/>
    <w:rsid w:val="00F03B34"/>
    <w:rsid w:val="00F13EE9"/>
    <w:rsid w:val="00F23ED4"/>
    <w:rsid w:val="00F31751"/>
    <w:rsid w:val="00F31F2E"/>
    <w:rsid w:val="00F33163"/>
    <w:rsid w:val="00F40E29"/>
    <w:rsid w:val="00F42512"/>
    <w:rsid w:val="00F7176D"/>
    <w:rsid w:val="00F75FD7"/>
    <w:rsid w:val="00F7745D"/>
    <w:rsid w:val="00F80734"/>
    <w:rsid w:val="00F9084A"/>
    <w:rsid w:val="00FA3BFE"/>
    <w:rsid w:val="00FA7922"/>
    <w:rsid w:val="00FB133B"/>
    <w:rsid w:val="00FB1455"/>
    <w:rsid w:val="00FB6BBF"/>
    <w:rsid w:val="00FC3F5C"/>
    <w:rsid w:val="00FD5AEC"/>
    <w:rsid w:val="00FD6D08"/>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F931BD4-5E03-4901-9497-C8039F9DA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 w:id="21225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3BE93-E8CC-4E46-AA9C-52FA8701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1261</Words>
  <Characters>7445</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5</cp:revision>
  <cp:lastPrinted>2016-05-11T12:54:00Z</cp:lastPrinted>
  <dcterms:created xsi:type="dcterms:W3CDTF">2022-06-05T12:13:00Z</dcterms:created>
  <dcterms:modified xsi:type="dcterms:W3CDTF">2022-07-19T07:33:00Z</dcterms:modified>
</cp:coreProperties>
</file>